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982"/>
      </w:tblGrid>
      <w:tr w:rsidR="00857874" w:rsidRPr="00AB3E99" w:rsidTr="00640B3D">
        <w:trPr>
          <w:trHeight w:val="300"/>
        </w:trPr>
        <w:tc>
          <w:tcPr>
            <w:tcW w:w="3487" w:type="pct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70245D69" wp14:editId="3E208319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972076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6879F4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3</w:t>
            </w:r>
            <w:r w:rsidR="00972076">
              <w:rPr>
                <w:rFonts w:asciiTheme="minorHAnsi" w:hAnsiTheme="minorHAnsi" w:cstheme="minorBidi"/>
                <w:b/>
                <w:bCs/>
                <w:color w:val="21517E"/>
              </w:rPr>
              <w:t>.1</w:t>
            </w:r>
            <w:r w:rsidR="006879F4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857874" w:rsidRPr="00AB3E99" w:rsidRDefault="00857874" w:rsidP="006879F4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 Рівненській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6879F4">
              <w:rPr>
                <w:rFonts w:ascii="Calibri" w:hAnsi="Calibri" w:cs="Calibri"/>
                <w:i/>
                <w:iCs/>
                <w:color w:val="DC9529"/>
              </w:rPr>
              <w:t xml:space="preserve">листопад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2025 року</w:t>
            </w:r>
          </w:p>
        </w:tc>
        <w:tc>
          <w:tcPr>
            <w:tcW w:w="1513" w:type="pct"/>
            <w:tcBorders>
              <w:left w:val="single" w:sz="4" w:space="0" w:color="DB9528"/>
              <w:bottom w:val="single" w:sz="4" w:space="0" w:color="DB9528"/>
            </w:tcBorders>
          </w:tcPr>
          <w:p w:rsidR="00857874" w:rsidRPr="00B60B5A" w:rsidRDefault="00857874" w:rsidP="0070576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00523CF6" wp14:editId="6DF96BE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7874" w:rsidRPr="00B60B5A" w:rsidRDefault="00857874" w:rsidP="00705760">
            <w:pPr>
              <w:ind w:left="186"/>
            </w:pPr>
          </w:p>
          <w:p w:rsidR="00857874" w:rsidRPr="00B60B5A" w:rsidRDefault="00857874" w:rsidP="00705760">
            <w:pPr>
              <w:ind w:left="186"/>
            </w:pPr>
          </w:p>
        </w:tc>
      </w:tr>
      <w:tr w:rsidR="00857874" w:rsidRPr="00F57ACB" w:rsidTr="00640B3D">
        <w:trPr>
          <w:trHeight w:val="1260"/>
        </w:trPr>
        <w:tc>
          <w:tcPr>
            <w:tcW w:w="3487" w:type="pct"/>
            <w:vMerge/>
          </w:tcPr>
          <w:p w:rsidR="00857874" w:rsidRPr="00E02D0D" w:rsidRDefault="00857874" w:rsidP="007057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3" w:type="pct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857874" w:rsidRDefault="00857874" w:rsidP="00705760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857874" w:rsidRPr="002530AB" w:rsidRDefault="00857874" w:rsidP="00705760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857874" w:rsidRPr="009A410E" w:rsidRDefault="00857874" w:rsidP="0070576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14AD6227" wp14:editId="5A9B1CCD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857874" w:rsidRPr="000802BE" w:rsidRDefault="00857874" w:rsidP="00705760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0BACCBE1" wp14:editId="7F161D53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:rsidR="00857874" w:rsidRPr="00E94112" w:rsidRDefault="00857874" w:rsidP="00705760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0E6FE7E6" wp14:editId="762027DC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26-68-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:rsidR="00846C6B" w:rsidRDefault="00846C6B" w:rsidP="00111992">
      <w:pPr>
        <w:pStyle w:val="--12"/>
      </w:pPr>
      <w:bookmarkStart w:id="0" w:name="OLE_LINK1"/>
    </w:p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</w:t>
      </w:r>
      <w:r w:rsidR="00640B3D">
        <w:rPr>
          <w:rFonts w:ascii="Calibri" w:hAnsi="Calibri" w:cs="Calibri"/>
          <w:color w:val="1F4E79" w:themeColor="accent5" w:themeShade="80"/>
        </w:rPr>
        <w:t>у</w:t>
      </w:r>
      <w:r w:rsidRPr="3259EAD8">
        <w:rPr>
          <w:rFonts w:ascii="Calibri" w:hAnsi="Calibri" w:cs="Calibri"/>
          <w:color w:val="1F4E79" w:themeColor="accent5" w:themeShade="80"/>
        </w:rPr>
        <w:t xml:space="preserve"> січні</w:t>
      </w:r>
      <w:r w:rsidR="1822C29C" w:rsidRPr="3259EAD8">
        <w:rPr>
          <w:rFonts w:ascii="Calibri" w:hAnsi="Calibri" w:cs="Calibri"/>
          <w:color w:val="1F4E79" w:themeColor="accent5" w:themeShade="80"/>
        </w:rPr>
        <w:t>−</w:t>
      </w:r>
      <w:r w:rsidR="006879F4">
        <w:rPr>
          <w:rFonts w:ascii="Calibri" w:hAnsi="Calibri" w:cs="Calibri"/>
          <w:color w:val="1F4E79" w:themeColor="accent5" w:themeShade="80"/>
        </w:rPr>
        <w:t>листопаді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6879F4">
        <w:rPr>
          <w:rFonts w:ascii="Calibri" w:hAnsi="Calibri" w:cs="Calibri"/>
          <w:color w:val="1F4E79" w:themeColor="accent5" w:themeShade="80"/>
        </w:rPr>
        <w:t>листопадом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6879F4">
        <w:rPr>
          <w:rFonts w:ascii="Calibri" w:hAnsi="Calibri" w:cs="Calibri"/>
          <w:color w:val="1F4E79" w:themeColor="accent5" w:themeShade="80"/>
        </w:rPr>
        <w:t>3,4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</w:p>
    <w:p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10"/>
        <w:gridCol w:w="1985"/>
        <w:gridCol w:w="2038"/>
      </w:tblGrid>
      <w:tr w:rsidR="00AE21C4" w:rsidRPr="00773764" w:rsidTr="006879F4">
        <w:trPr>
          <w:trHeight w:val="247"/>
        </w:trPr>
        <w:tc>
          <w:tcPr>
            <w:tcW w:w="1682" w:type="pct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сільського </w:t>
            </w:r>
            <w:r w:rsidRPr="006879F4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господарства</w:t>
            </w:r>
          </w:p>
        </w:tc>
        <w:tc>
          <w:tcPr>
            <w:tcW w:w="207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У тому числі</w:t>
            </w:r>
          </w:p>
        </w:tc>
      </w:tr>
      <w:tr w:rsidR="00AE21C4" w:rsidRPr="00773764" w:rsidTr="006879F4">
        <w:tc>
          <w:tcPr>
            <w:tcW w:w="1682" w:type="pct"/>
            <w:vMerge/>
            <w:vAlign w:val="center"/>
            <w:hideMark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/>
            <w:vAlign w:val="center"/>
            <w:hideMark/>
          </w:tcPr>
          <w:p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1051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6879F4" w:rsidRPr="00B43F7F" w:rsidTr="00831B1D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6879F4" w:rsidRPr="00353E37" w:rsidRDefault="006879F4" w:rsidP="006879F4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6879F4" w:rsidRPr="00EB6042" w:rsidRDefault="006879F4" w:rsidP="006879F4">
            <w:pPr>
              <w:jc w:val="center"/>
              <w:rPr>
                <w:rFonts w:asciiTheme="minorHAnsi" w:hAnsiTheme="minorHAnsi"/>
                <w:b/>
                <w:color w:val="1F4E79"/>
                <w:sz w:val="22"/>
                <w:szCs w:val="22"/>
              </w:rPr>
            </w:pPr>
            <w:r w:rsidRPr="00EB6042">
              <w:rPr>
                <w:rFonts w:asciiTheme="minorHAnsi" w:hAnsiTheme="minorHAnsi"/>
                <w:b/>
                <w:color w:val="1F4E79"/>
                <w:sz w:val="22"/>
                <w:szCs w:val="22"/>
              </w:rPr>
              <w:t>96,6</w:t>
            </w:r>
          </w:p>
        </w:tc>
        <w:tc>
          <w:tcPr>
            <w:tcW w:w="1024" w:type="pct"/>
            <w:shd w:val="clear" w:color="auto" w:fill="auto"/>
            <w:vAlign w:val="bottom"/>
          </w:tcPr>
          <w:p w:rsidR="006879F4" w:rsidRPr="00EB6042" w:rsidRDefault="006879F4" w:rsidP="006879F4">
            <w:pPr>
              <w:jc w:val="center"/>
              <w:rPr>
                <w:rFonts w:asciiTheme="minorHAnsi" w:hAnsiTheme="minorHAnsi"/>
                <w:b/>
                <w:color w:val="1F4E79"/>
                <w:sz w:val="22"/>
                <w:szCs w:val="22"/>
              </w:rPr>
            </w:pPr>
            <w:r w:rsidRPr="00EB6042">
              <w:rPr>
                <w:rFonts w:asciiTheme="minorHAnsi" w:hAnsiTheme="minorHAnsi"/>
                <w:b/>
                <w:color w:val="1F4E79"/>
                <w:sz w:val="22"/>
                <w:szCs w:val="22"/>
              </w:rPr>
              <w:t>95,8</w:t>
            </w:r>
          </w:p>
        </w:tc>
        <w:tc>
          <w:tcPr>
            <w:tcW w:w="1051" w:type="pct"/>
            <w:shd w:val="clear" w:color="auto" w:fill="auto"/>
            <w:vAlign w:val="bottom"/>
          </w:tcPr>
          <w:p w:rsidR="006879F4" w:rsidRPr="00EB6042" w:rsidRDefault="006879F4" w:rsidP="006879F4">
            <w:pPr>
              <w:jc w:val="center"/>
              <w:rPr>
                <w:rFonts w:asciiTheme="minorHAnsi" w:hAnsiTheme="minorHAnsi"/>
                <w:b/>
                <w:color w:val="1F4E79"/>
                <w:sz w:val="22"/>
                <w:szCs w:val="22"/>
              </w:rPr>
            </w:pPr>
            <w:r w:rsidRPr="00EB6042">
              <w:rPr>
                <w:rFonts w:asciiTheme="minorHAnsi" w:hAnsiTheme="minorHAnsi"/>
                <w:b/>
                <w:color w:val="1F4E79"/>
                <w:sz w:val="22"/>
                <w:szCs w:val="22"/>
              </w:rPr>
              <w:t>99,9</w:t>
            </w:r>
          </w:p>
        </w:tc>
      </w:tr>
      <w:tr w:rsidR="006879F4" w:rsidRPr="00B43F7F" w:rsidTr="00831B1D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6879F4" w:rsidRPr="00353E37" w:rsidRDefault="006879F4" w:rsidP="006879F4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</w:p>
        </w:tc>
        <w:tc>
          <w:tcPr>
            <w:tcW w:w="1024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</w:p>
        </w:tc>
        <w:tc>
          <w:tcPr>
            <w:tcW w:w="1051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</w:p>
        </w:tc>
      </w:tr>
      <w:tr w:rsidR="006879F4" w:rsidRPr="00B43F7F" w:rsidTr="00831B1D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6879F4" w:rsidRPr="00353E37" w:rsidRDefault="006879F4" w:rsidP="006879F4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879F4">
              <w:rPr>
                <w:rFonts w:asciiTheme="minorHAnsi" w:hAnsiTheme="minorHAnsi"/>
                <w:color w:val="1F4E79"/>
                <w:sz w:val="22"/>
                <w:szCs w:val="22"/>
              </w:rPr>
              <w:t>99,5</w:t>
            </w:r>
          </w:p>
        </w:tc>
        <w:tc>
          <w:tcPr>
            <w:tcW w:w="1024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879F4">
              <w:rPr>
                <w:rFonts w:asciiTheme="minorHAnsi" w:hAnsiTheme="minorHAnsi"/>
                <w:color w:val="1F4E79"/>
                <w:sz w:val="22"/>
                <w:szCs w:val="22"/>
              </w:rPr>
              <w:t>95,9</w:t>
            </w:r>
          </w:p>
        </w:tc>
        <w:tc>
          <w:tcPr>
            <w:tcW w:w="1051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879F4">
              <w:rPr>
                <w:rFonts w:asciiTheme="minorHAnsi" w:hAnsiTheme="minorHAnsi"/>
                <w:color w:val="1F4E79"/>
                <w:sz w:val="22"/>
                <w:szCs w:val="22"/>
              </w:rPr>
              <w:t>120,9</w:t>
            </w:r>
          </w:p>
        </w:tc>
      </w:tr>
      <w:tr w:rsidR="006879F4" w:rsidRPr="00B43F7F" w:rsidTr="00831B1D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6879F4" w:rsidRPr="00353E37" w:rsidRDefault="006879F4" w:rsidP="006879F4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1243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879F4">
              <w:rPr>
                <w:rFonts w:asciiTheme="minorHAnsi" w:hAnsiTheme="minorHAnsi"/>
                <w:color w:val="1F4E79"/>
                <w:sz w:val="22"/>
                <w:szCs w:val="22"/>
              </w:rPr>
              <w:t>93,3</w:t>
            </w:r>
          </w:p>
        </w:tc>
        <w:tc>
          <w:tcPr>
            <w:tcW w:w="1024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879F4">
              <w:rPr>
                <w:rFonts w:asciiTheme="minorHAnsi" w:hAnsiTheme="minorHAnsi"/>
                <w:color w:val="1F4E79"/>
                <w:sz w:val="22"/>
                <w:szCs w:val="22"/>
              </w:rPr>
              <w:t>95,6</w:t>
            </w:r>
          </w:p>
        </w:tc>
        <w:tc>
          <w:tcPr>
            <w:tcW w:w="1051" w:type="pct"/>
            <w:shd w:val="clear" w:color="auto" w:fill="auto"/>
            <w:vAlign w:val="bottom"/>
          </w:tcPr>
          <w:p w:rsidR="006879F4" w:rsidRPr="006879F4" w:rsidRDefault="006879F4" w:rsidP="006879F4">
            <w:pPr>
              <w:jc w:val="center"/>
              <w:rPr>
                <w:rFonts w:asciiTheme="minorHAnsi" w:hAnsiTheme="minorHAnsi"/>
                <w:color w:val="1F4E79"/>
                <w:sz w:val="22"/>
                <w:szCs w:val="22"/>
              </w:rPr>
            </w:pPr>
            <w:r w:rsidRPr="006879F4">
              <w:rPr>
                <w:rFonts w:asciiTheme="minorHAnsi" w:hAnsiTheme="minorHAnsi"/>
                <w:color w:val="1F4E79"/>
                <w:sz w:val="22"/>
                <w:szCs w:val="22"/>
              </w:rPr>
              <w:t>87,9</w:t>
            </w:r>
          </w:p>
        </w:tc>
      </w:tr>
    </w:tbl>
    <w:p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5132" w:rsidRPr="002923D5" w:rsidTr="00640B3D">
        <w:tc>
          <w:tcPr>
            <w:tcW w:w="5000" w:type="pct"/>
          </w:tcPr>
          <w:p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AA623CC" wp14:editId="62B8332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F8E7A04" wp14:editId="27EBBD0D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19C06E25" wp14:editId="064E53C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:rsidTr="00640B3D">
        <w:tc>
          <w:tcPr>
            <w:tcW w:w="5000" w:type="pct"/>
          </w:tcPr>
          <w:p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</w:t>
            </w:r>
            <w:r w:rsidR="00640B3D">
              <w:rPr>
                <w:rFonts w:ascii="Calibri" w:eastAsia="Calibri" w:hAnsi="Calibri" w:cs="Calibri"/>
                <w:color w:val="1F4E79" w:themeColor="accent5" w:themeShade="80"/>
              </w:rPr>
              <w:t>–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на основі даних щодо продукції рослинництва та тваринництва.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№</w:t>
            </w:r>
            <w:r w:rsidR="0E539199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:rsidR="00A55132" w:rsidRPr="00967633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5F137C4" wp14:editId="11F50358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057830" w:rsidRDefault="00057830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267F8" w:rsidRDefault="007267F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rPr>
          <w:rFonts w:ascii="Calibri" w:hAnsi="Calibri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5000" w:type="pct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854"/>
      </w:tblGrid>
      <w:tr w:rsidR="00A36402" w:rsidTr="00640B3D">
        <w:trPr>
          <w:trHeight w:val="977"/>
        </w:trPr>
        <w:tc>
          <w:tcPr>
            <w:tcW w:w="5000" w:type="pct"/>
            <w:tcBorders>
              <w:left w:val="single" w:sz="12" w:space="0" w:color="DB9528"/>
            </w:tcBorders>
          </w:tcPr>
          <w:p w:rsidR="00857874" w:rsidRPr="008F583E" w:rsidRDefault="00857874" w:rsidP="00857874">
            <w:pPr>
              <w:ind w:left="57"/>
              <w:rPr>
                <w:rFonts w:asciiTheme="majorHAnsi" w:hAnsiTheme="majorHAnsi" w:cs="Calibri Light"/>
                <w:color w:val="666666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Довідка: тел. (036-2) 26-56-37</w:t>
            </w:r>
            <w:r w:rsidR="008F583E" w:rsidRPr="008F583E">
              <w:rPr>
                <w:rFonts w:asciiTheme="majorHAnsi" w:hAnsiTheme="majorHAnsi" w:cs="Calibri Light"/>
                <w:color w:val="666666"/>
              </w:rPr>
              <w:t xml:space="preserve">; </w:t>
            </w:r>
            <w:r w:rsidR="008F583E" w:rsidRPr="008F583E">
              <w:rPr>
                <w:rFonts w:asciiTheme="majorHAnsi" w:hAnsiTheme="majorHAnsi"/>
                <w:lang w:val="en-US"/>
              </w:rPr>
              <w:t>e</w:t>
            </w:r>
            <w:r w:rsidR="008F583E" w:rsidRPr="008F583E">
              <w:rPr>
                <w:rFonts w:asciiTheme="majorHAnsi" w:hAnsiTheme="majorHAnsi"/>
              </w:rPr>
              <w:t>-</w:t>
            </w:r>
            <w:r w:rsidR="008F583E" w:rsidRPr="008F583E">
              <w:rPr>
                <w:rFonts w:asciiTheme="majorHAnsi" w:hAnsiTheme="majorHAnsi"/>
                <w:lang w:val="en-US"/>
              </w:rPr>
              <w:t>mail</w:t>
            </w:r>
            <w:r w:rsidR="008F583E" w:rsidRPr="008F583E">
              <w:rPr>
                <w:rFonts w:asciiTheme="majorHAnsi" w:hAnsiTheme="majorHAnsi"/>
              </w:rPr>
              <w:t xml:space="preserve">: </w:t>
            </w:r>
            <w:r w:rsidR="008F583E" w:rsidRPr="008F583E">
              <w:rPr>
                <w:rFonts w:asciiTheme="majorHAnsi" w:hAnsiTheme="majorHAnsi"/>
                <w:color w:val="0563C1"/>
              </w:rPr>
              <w:t>gus@rv.ukrstat.gov.ua</w:t>
            </w:r>
            <w:r w:rsidR="008F583E" w:rsidRPr="008F583E">
              <w:rPr>
                <w:rFonts w:asciiTheme="majorHAnsi" w:hAnsiTheme="majorHAnsi"/>
              </w:rPr>
              <w:t xml:space="preserve"> </w:t>
            </w:r>
          </w:p>
          <w:p w:rsidR="00857874" w:rsidRPr="008F583E" w:rsidRDefault="00857874" w:rsidP="00857874">
            <w:pPr>
              <w:widowControl w:val="0"/>
              <w:rPr>
                <w:rFonts w:asciiTheme="majorHAnsi" w:hAnsiTheme="majorHAnsi"/>
                <w:u w:val="single"/>
                <w:lang w:val="ru-RU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 xml:space="preserve"> Більше інформації: http://www.gusrv.gov.ua</w:t>
            </w:r>
          </w:p>
          <w:p w:rsidR="00A36402" w:rsidRPr="005E0CF1" w:rsidRDefault="00857874" w:rsidP="00595DFE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© Головне управління статистики у Рівненській</w:t>
            </w:r>
            <w:bookmarkStart w:id="1" w:name="_GoBack"/>
            <w:bookmarkEnd w:id="1"/>
            <w:r w:rsidRPr="008F583E">
              <w:rPr>
                <w:rFonts w:asciiTheme="majorHAnsi" w:hAnsiTheme="majorHAnsi" w:cs="Calibri Light"/>
                <w:color w:val="666666"/>
              </w:rPr>
              <w:t xml:space="preserve"> області,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90E" w:rsidRDefault="0084790E" w:rsidP="005345A4">
      <w:r>
        <w:separator/>
      </w:r>
    </w:p>
  </w:endnote>
  <w:endnote w:type="continuationSeparator" w:id="0">
    <w:p w:rsidR="0084790E" w:rsidRDefault="0084790E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595DFE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90E" w:rsidRDefault="0084790E" w:rsidP="005345A4">
      <w:r>
        <w:separator/>
      </w:r>
    </w:p>
  </w:footnote>
  <w:footnote w:type="continuationSeparator" w:id="0">
    <w:p w:rsidR="0084790E" w:rsidRDefault="0084790E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.75pt;height:36.75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57830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38F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5DFE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0B3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74E15"/>
    <w:rsid w:val="00680879"/>
    <w:rsid w:val="00680B3F"/>
    <w:rsid w:val="0068157D"/>
    <w:rsid w:val="00686F7B"/>
    <w:rsid w:val="00687887"/>
    <w:rsid w:val="006879F4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67F8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28FB"/>
    <w:rsid w:val="00845288"/>
    <w:rsid w:val="00845F0B"/>
    <w:rsid w:val="00846343"/>
    <w:rsid w:val="00846649"/>
    <w:rsid w:val="00846C6B"/>
    <w:rsid w:val="0084790E"/>
    <w:rsid w:val="00854F1C"/>
    <w:rsid w:val="008571A5"/>
    <w:rsid w:val="00857874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583E"/>
    <w:rsid w:val="008F74CF"/>
    <w:rsid w:val="00905394"/>
    <w:rsid w:val="00905E99"/>
    <w:rsid w:val="009107B3"/>
    <w:rsid w:val="00912293"/>
    <w:rsid w:val="00912552"/>
    <w:rsid w:val="00915FE3"/>
    <w:rsid w:val="0091702C"/>
    <w:rsid w:val="00920221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7633"/>
    <w:rsid w:val="00970417"/>
    <w:rsid w:val="0097068B"/>
    <w:rsid w:val="00971AEF"/>
    <w:rsid w:val="00972076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3F9E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554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078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747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042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25BD1-A53A-478E-B643-096C202D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4E9ACD-C9A0-4901-875A-10B47F09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InformA</cp:lastModifiedBy>
  <cp:revision>18</cp:revision>
  <cp:lastPrinted>2025-12-23T09:28:00Z</cp:lastPrinted>
  <dcterms:created xsi:type="dcterms:W3CDTF">2025-09-18T11:24:00Z</dcterms:created>
  <dcterms:modified xsi:type="dcterms:W3CDTF">2025-12-23T10:27:00Z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